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b/>
          <w:bCs/>
          <w:color w:val="000000"/>
          <w:sz w:val="20"/>
          <w:szCs w:val="20"/>
          <w:lang w:eastAsia="it-IT"/>
        </w:rPr>
        <w:t>Art.</w:t>
      </w:r>
      <w:r w:rsidRPr="00E92963">
        <w:rPr>
          <w:rFonts w:ascii="Tahoma" w:eastAsia="Times New Roman" w:hAnsi="Tahoma" w:cs="Tahoma"/>
          <w:b/>
          <w:bCs/>
          <w:color w:val="000000"/>
          <w:sz w:val="20"/>
          <w:lang w:eastAsia="it-IT"/>
        </w:rPr>
        <w:t> </w:t>
      </w:r>
      <w:bookmarkStart w:id="0" w:name="05"/>
      <w:r w:rsidRPr="00E92963">
        <w:rPr>
          <w:rFonts w:ascii="Tahoma" w:eastAsia="Times New Roman" w:hAnsi="Tahoma" w:cs="Tahoma"/>
          <w:b/>
          <w:bCs/>
          <w:color w:val="000000"/>
          <w:sz w:val="20"/>
          <w:szCs w:val="20"/>
          <w:lang w:eastAsia="it-IT"/>
        </w:rPr>
        <w:t>5</w:t>
      </w:r>
      <w:bookmarkEnd w:id="0"/>
      <w:r w:rsidRPr="00E92963">
        <w:rPr>
          <w:rFonts w:ascii="Tahoma" w:eastAsia="Times New Roman" w:hAnsi="Tahoma" w:cs="Tahoma"/>
          <w:b/>
          <w:bCs/>
          <w:color w:val="000000"/>
          <w:sz w:val="20"/>
          <w:szCs w:val="20"/>
          <w:lang w:eastAsia="it-IT"/>
        </w:rPr>
        <w:t>. Accesso civico a dati e documenti</w:t>
      </w:r>
      <w:r w:rsidRPr="00E92963">
        <w:rPr>
          <w:rFonts w:ascii="Tahoma" w:eastAsia="Times New Roman" w:hAnsi="Tahoma" w:cs="Tahoma"/>
          <w:b/>
          <w:bCs/>
          <w:color w:val="000000"/>
          <w:sz w:val="20"/>
          <w:szCs w:val="20"/>
          <w:lang w:eastAsia="it-IT"/>
        </w:rPr>
        <w:br/>
      </w:r>
      <w:r w:rsidRPr="00E92963">
        <w:rPr>
          <w:rFonts w:ascii="Tahoma" w:eastAsia="Times New Roman" w:hAnsi="Tahoma" w:cs="Tahoma"/>
          <w:i/>
          <w:iCs/>
          <w:color w:val="FF0000"/>
          <w:sz w:val="20"/>
          <w:szCs w:val="20"/>
          <w:lang w:eastAsia="it-IT"/>
        </w:rPr>
        <w:t>(articolo così sostituito dall'</w:t>
      </w:r>
      <w:hyperlink r:id="rId4" w:anchor="06" w:history="1">
        <w:r w:rsidRPr="00E92963">
          <w:rPr>
            <w:rFonts w:ascii="Tahoma" w:eastAsia="Times New Roman" w:hAnsi="Tahoma" w:cs="Tahoma"/>
            <w:i/>
            <w:iCs/>
            <w:color w:val="0000FF"/>
            <w:sz w:val="20"/>
            <w:u w:val="single"/>
            <w:lang w:eastAsia="it-IT"/>
          </w:rPr>
          <w:t>art. 6, comma 1, d.lgs. n. 97 del 2016</w:t>
        </w:r>
      </w:hyperlink>
      <w:r w:rsidRPr="00E92963">
        <w:rPr>
          <w:rFonts w:ascii="Tahoma" w:eastAsia="Times New Roman" w:hAnsi="Tahoma" w:cs="Tahoma"/>
          <w:i/>
          <w:iCs/>
          <w:color w:val="FF0000"/>
          <w:sz w:val="20"/>
          <w:szCs w:val="20"/>
          <w:lang w:eastAsia="it-IT"/>
        </w:rPr>
        <w:t>)</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1. L'obbligo previsto dalla normativa vigente in capo alle pubbliche amministrazioni di pubblicare documenti, informazioni o dati comporta il diritto di chiunque di richiedere i medesimi, nei casi in cui sia stata omessa la loro pubblicazione.</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2.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3. L'esercizio del diritto di cui ai commi 1 e 2 non è sottoposto ad alcuna limitazione quanto alla legittimazione soggettiva del richiedente. L'istanza di accesso civico identifica i dati, le informazioni o i documenti richiesti e non richiede motivazione. L'istanza può essere trasmessa per via telematica secondo le modalità previste dal</w:t>
      </w:r>
      <w:r w:rsidRPr="00E92963">
        <w:rPr>
          <w:rFonts w:ascii="Tahoma" w:eastAsia="Times New Roman" w:hAnsi="Tahoma" w:cs="Tahoma"/>
          <w:color w:val="000000"/>
          <w:sz w:val="20"/>
          <w:lang w:eastAsia="it-IT"/>
        </w:rPr>
        <w:t> </w:t>
      </w:r>
      <w:hyperlink r:id="rId5" w:history="1">
        <w:r w:rsidRPr="00E92963">
          <w:rPr>
            <w:rFonts w:ascii="Tahoma" w:eastAsia="Times New Roman" w:hAnsi="Tahoma" w:cs="Tahoma"/>
            <w:color w:val="0000FF"/>
            <w:sz w:val="20"/>
            <w:u w:val="single"/>
            <w:lang w:eastAsia="it-IT"/>
          </w:rPr>
          <w:t>decreto legislativo 7 marzo 2005, n. 82</w:t>
        </w:r>
      </w:hyperlink>
      <w:r w:rsidRPr="00E92963">
        <w:rPr>
          <w:rFonts w:ascii="Tahoma" w:eastAsia="Times New Roman" w:hAnsi="Tahoma" w:cs="Tahoma"/>
          <w:color w:val="000000"/>
          <w:sz w:val="20"/>
          <w:szCs w:val="20"/>
          <w:lang w:eastAsia="it-IT"/>
        </w:rPr>
        <w:t>, e successive modificazioni, ed è presentata alternativamente ad uno dei seguenti uffici:</w:t>
      </w:r>
    </w:p>
    <w:p w:rsidR="005C7765" w:rsidRPr="00E92963" w:rsidRDefault="005C7765" w:rsidP="005C7765">
      <w:pPr>
        <w:spacing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a) all'ufficio che detiene i dati, le informazioni o i documenti;</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b) all'Ufficio relazioni con il pubblico;</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c) ad altro ufficio indicato dall'amministrazione nella sezione "Amministrazione trasparente" del sito istituzionale;</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d) al responsabile della prevenzione della corruzione e della trasparenza, ove l'istanza abbia a oggetto dati, informazioni o documenti oggetto di pubblicazione obbligatoria ai sensi del presente decreto.</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4. Il rilascio di dati o documenti in formato elettronico o cartaceo è gratuito, salvo il rimborso del costo effettivamente sostenuto e documentato dall'amministrazione per la riproduzione su supporti materiali.</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 xml:space="preserve">5. Fatti salvi i casi di pubblicazione obbligatoria, l'amministrazione cui è indirizzata la richiesta di accesso, se individua soggetti </w:t>
      </w:r>
      <w:proofErr w:type="spellStart"/>
      <w:r w:rsidRPr="00E92963">
        <w:rPr>
          <w:rFonts w:ascii="Tahoma" w:eastAsia="Times New Roman" w:hAnsi="Tahoma" w:cs="Tahoma"/>
          <w:color w:val="000000"/>
          <w:sz w:val="20"/>
          <w:szCs w:val="20"/>
          <w:lang w:eastAsia="it-IT"/>
        </w:rPr>
        <w:t>controinteressati</w:t>
      </w:r>
      <w:proofErr w:type="spellEnd"/>
      <w:r w:rsidRPr="00E92963">
        <w:rPr>
          <w:rFonts w:ascii="Tahoma" w:eastAsia="Times New Roman" w:hAnsi="Tahoma" w:cs="Tahoma"/>
          <w:color w:val="000000"/>
          <w:sz w:val="20"/>
          <w:szCs w:val="20"/>
          <w:lang w:eastAsia="it-IT"/>
        </w:rPr>
        <w:t xml:space="preserve">, ai sensi dell'articolo 5-bis, comma 2, è tenuta a dare comunicazione agli stessi, mediante invio di copia con raccomandata con avviso di ricevimento, o per via telematica per coloro che abbiano consentito tale forma di comunicazione. Entro dieci giorni dalla ricezione della comunicazione, i </w:t>
      </w:r>
      <w:proofErr w:type="spellStart"/>
      <w:r w:rsidRPr="00E92963">
        <w:rPr>
          <w:rFonts w:ascii="Tahoma" w:eastAsia="Times New Roman" w:hAnsi="Tahoma" w:cs="Tahoma"/>
          <w:color w:val="000000"/>
          <w:sz w:val="20"/>
          <w:szCs w:val="20"/>
          <w:lang w:eastAsia="it-IT"/>
        </w:rPr>
        <w:t>controinteressati</w:t>
      </w:r>
      <w:proofErr w:type="spellEnd"/>
      <w:r w:rsidRPr="00E92963">
        <w:rPr>
          <w:rFonts w:ascii="Tahoma" w:eastAsia="Times New Roman" w:hAnsi="Tahoma" w:cs="Tahoma"/>
          <w:color w:val="000000"/>
          <w:sz w:val="20"/>
          <w:szCs w:val="20"/>
          <w:lang w:eastAsia="it-IT"/>
        </w:rPr>
        <w:t xml:space="preserve"> possono presentare una motivata opposizione, anche per via telematica, alla richiesta di accesso. A decorrere dalla comunicazione ai </w:t>
      </w:r>
      <w:proofErr w:type="spellStart"/>
      <w:r w:rsidRPr="00E92963">
        <w:rPr>
          <w:rFonts w:ascii="Tahoma" w:eastAsia="Times New Roman" w:hAnsi="Tahoma" w:cs="Tahoma"/>
          <w:color w:val="000000"/>
          <w:sz w:val="20"/>
          <w:szCs w:val="20"/>
          <w:lang w:eastAsia="it-IT"/>
        </w:rPr>
        <w:t>controinteressati</w:t>
      </w:r>
      <w:proofErr w:type="spellEnd"/>
      <w:r w:rsidRPr="00E92963">
        <w:rPr>
          <w:rFonts w:ascii="Tahoma" w:eastAsia="Times New Roman" w:hAnsi="Tahoma" w:cs="Tahoma"/>
          <w:color w:val="000000"/>
          <w:sz w:val="20"/>
          <w:szCs w:val="20"/>
          <w:lang w:eastAsia="it-IT"/>
        </w:rPr>
        <w:t xml:space="preserve">, il termine di cui al comma 6 è sospeso fino all'eventuale opposizione dei </w:t>
      </w:r>
      <w:proofErr w:type="spellStart"/>
      <w:r w:rsidRPr="00E92963">
        <w:rPr>
          <w:rFonts w:ascii="Tahoma" w:eastAsia="Times New Roman" w:hAnsi="Tahoma" w:cs="Tahoma"/>
          <w:color w:val="000000"/>
          <w:sz w:val="20"/>
          <w:szCs w:val="20"/>
          <w:lang w:eastAsia="it-IT"/>
        </w:rPr>
        <w:t>controinteressati</w:t>
      </w:r>
      <w:proofErr w:type="spellEnd"/>
      <w:r w:rsidRPr="00E92963">
        <w:rPr>
          <w:rFonts w:ascii="Tahoma" w:eastAsia="Times New Roman" w:hAnsi="Tahoma" w:cs="Tahoma"/>
          <w:color w:val="000000"/>
          <w:sz w:val="20"/>
          <w:szCs w:val="20"/>
          <w:lang w:eastAsia="it-IT"/>
        </w:rPr>
        <w:t>. Decorso tale termine, la pubblica amministrazione provvede sulla richiesta, accertata la ricezione della comunicazione.</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 xml:space="preserve">6. Il procedimento di accesso civico deve concludersi con provvedimento espresso e motivato nel termine di trenta giorni dalla presentazione dell'istanza con la comunicazione al richiedente e agli eventuali </w:t>
      </w:r>
      <w:proofErr w:type="spellStart"/>
      <w:r w:rsidRPr="00E92963">
        <w:rPr>
          <w:rFonts w:ascii="Tahoma" w:eastAsia="Times New Roman" w:hAnsi="Tahoma" w:cs="Tahoma"/>
          <w:color w:val="000000"/>
          <w:sz w:val="20"/>
          <w:szCs w:val="20"/>
          <w:lang w:eastAsia="it-IT"/>
        </w:rPr>
        <w:t>controinteressati</w:t>
      </w:r>
      <w:proofErr w:type="spellEnd"/>
      <w:r w:rsidRPr="00E92963">
        <w:rPr>
          <w:rFonts w:ascii="Tahoma" w:eastAsia="Times New Roman" w:hAnsi="Tahoma" w:cs="Tahoma"/>
          <w:color w:val="000000"/>
          <w:sz w:val="20"/>
          <w:szCs w:val="20"/>
          <w:lang w:eastAsia="it-IT"/>
        </w:rPr>
        <w:t xml:space="preserve">. In caso di accoglimento, l'amministrazione provvede a trasmettere tempestivamente al richiedente i dati o i documenti richiesti, ovvero, nel caso in cui l'istanza riguardi dati, informazioni o documenti oggetto di pubblicazione obbligatoria ai sensi del presente decreto, a pubblicare sul sito i dati, le informazioni o i documenti richiesti e a comunicare al richiedente l'avvenuta pubblicazione dello stesso, indicandogli il relativo collegamento ipertestuale. In caso di accoglimento della richiesta di accesso civico nonostante l'opposizione del </w:t>
      </w:r>
      <w:proofErr w:type="spellStart"/>
      <w:r w:rsidRPr="00E92963">
        <w:rPr>
          <w:rFonts w:ascii="Tahoma" w:eastAsia="Times New Roman" w:hAnsi="Tahoma" w:cs="Tahoma"/>
          <w:color w:val="000000"/>
          <w:sz w:val="20"/>
          <w:szCs w:val="20"/>
          <w:lang w:eastAsia="it-IT"/>
        </w:rPr>
        <w:t>controinteressato</w:t>
      </w:r>
      <w:proofErr w:type="spellEnd"/>
      <w:r w:rsidRPr="00E92963">
        <w:rPr>
          <w:rFonts w:ascii="Tahoma" w:eastAsia="Times New Roman" w:hAnsi="Tahoma" w:cs="Tahoma"/>
          <w:color w:val="000000"/>
          <w:sz w:val="20"/>
          <w:szCs w:val="20"/>
          <w:lang w:eastAsia="it-IT"/>
        </w:rPr>
        <w:t xml:space="preserve">, salvi i casi di comprovata indifferibilità, l'amministrazione ne dà comunicazione al </w:t>
      </w:r>
      <w:proofErr w:type="spellStart"/>
      <w:r w:rsidRPr="00E92963">
        <w:rPr>
          <w:rFonts w:ascii="Tahoma" w:eastAsia="Times New Roman" w:hAnsi="Tahoma" w:cs="Tahoma"/>
          <w:color w:val="000000"/>
          <w:sz w:val="20"/>
          <w:szCs w:val="20"/>
          <w:lang w:eastAsia="it-IT"/>
        </w:rPr>
        <w:t>controinteressato</w:t>
      </w:r>
      <w:proofErr w:type="spellEnd"/>
      <w:r w:rsidRPr="00E92963">
        <w:rPr>
          <w:rFonts w:ascii="Tahoma" w:eastAsia="Times New Roman" w:hAnsi="Tahoma" w:cs="Tahoma"/>
          <w:color w:val="000000"/>
          <w:sz w:val="20"/>
          <w:szCs w:val="20"/>
          <w:lang w:eastAsia="it-IT"/>
        </w:rPr>
        <w:t xml:space="preserve"> e provvede a trasmettere al richiedente i dati o i documenti richiesti non prima di quindici giorni dalla ricezione della stessa comunicazione da parte del </w:t>
      </w:r>
      <w:proofErr w:type="spellStart"/>
      <w:r w:rsidRPr="00E92963">
        <w:rPr>
          <w:rFonts w:ascii="Tahoma" w:eastAsia="Times New Roman" w:hAnsi="Tahoma" w:cs="Tahoma"/>
          <w:color w:val="000000"/>
          <w:sz w:val="20"/>
          <w:szCs w:val="20"/>
          <w:lang w:eastAsia="it-IT"/>
        </w:rPr>
        <w:t>controinteressato</w:t>
      </w:r>
      <w:proofErr w:type="spellEnd"/>
      <w:r w:rsidRPr="00E92963">
        <w:rPr>
          <w:rFonts w:ascii="Tahoma" w:eastAsia="Times New Roman" w:hAnsi="Tahoma" w:cs="Tahoma"/>
          <w:color w:val="000000"/>
          <w:sz w:val="20"/>
          <w:szCs w:val="20"/>
          <w:lang w:eastAsia="it-IT"/>
        </w:rPr>
        <w:t>. Il rifiuto, il differimento e la limitazione dell'accesso devono essere motivati con riferimento ai casi e ai limiti stabiliti dall'articolo 5-bis. Il responsabile della prevenzione della corruzione e della trasparenza può chiedere agli uffici della relativa amministrazione informazioni sull'esito delle istanze.</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7. Nei casi di diniego totale o parziale dell'accesso o di mancata risposta entro il termine indicato al comma 6, il richiedente può presentare richiesta di riesame al responsabile della prevenzione della corruzione e della trasparenza, di cui all'</w:t>
      </w:r>
      <w:hyperlink r:id="rId6" w:anchor="43" w:history="1">
        <w:r w:rsidRPr="00E92963">
          <w:rPr>
            <w:rFonts w:ascii="Tahoma" w:eastAsia="Times New Roman" w:hAnsi="Tahoma" w:cs="Tahoma"/>
            <w:color w:val="0000FF"/>
            <w:sz w:val="20"/>
            <w:u w:val="single"/>
            <w:lang w:eastAsia="it-IT"/>
          </w:rPr>
          <w:t>articolo 43</w:t>
        </w:r>
      </w:hyperlink>
      <w:r w:rsidRPr="00E92963">
        <w:rPr>
          <w:rFonts w:ascii="Tahoma" w:eastAsia="Times New Roman" w:hAnsi="Tahoma" w:cs="Tahoma"/>
          <w:color w:val="000000"/>
          <w:sz w:val="20"/>
          <w:szCs w:val="20"/>
          <w:lang w:eastAsia="it-IT"/>
        </w:rPr>
        <w:t xml:space="preserve">, che decide con provvedimento motivato, entro il termine di venti giorni. Se l'accesso è stato negato o differito a tutela degli interessi di cui all'articolo 5-bis, comma 2, lettera a), il suddetto responsabile provvede sentito il Garante per la protezione dei dati personali, il quale si pronuncia </w:t>
      </w:r>
      <w:r w:rsidRPr="00E92963">
        <w:rPr>
          <w:rFonts w:ascii="Tahoma" w:eastAsia="Times New Roman" w:hAnsi="Tahoma" w:cs="Tahoma"/>
          <w:color w:val="000000"/>
          <w:sz w:val="20"/>
          <w:szCs w:val="20"/>
          <w:lang w:eastAsia="it-IT"/>
        </w:rPr>
        <w:lastRenderedPageBreak/>
        <w:t>entro il termine di dieci giorni dalla richiesta. A decorrere dalla comunicazione al Garante, il termine per l'adozione del provvedimento da parte del responsabile è sospeso, fino alla ricezione del parere del Garante e comunque per un periodo non superiore ai predetti dieci giorni. Avverso la decisione dell'amministrazione competente o, in caso di richiesta di riesame, avverso quella del responsabile della prevenzione della corruzione e della trasparenza, il richiedente può proporre ricorso al Tribunale amministrativo regionale ai sensi dell'</w:t>
      </w:r>
      <w:hyperlink r:id="rId7" w:anchor="116" w:history="1">
        <w:r w:rsidRPr="00E92963">
          <w:rPr>
            <w:rFonts w:ascii="Tahoma" w:eastAsia="Times New Roman" w:hAnsi="Tahoma" w:cs="Tahoma"/>
            <w:color w:val="0000FF"/>
            <w:sz w:val="20"/>
            <w:u w:val="single"/>
            <w:lang w:eastAsia="it-IT"/>
          </w:rPr>
          <w:t>articolo 116 del Codice del processo amministrativo di cui al decreto legislativo 2 luglio 2010, n. 104</w:t>
        </w:r>
      </w:hyperlink>
      <w:r w:rsidRPr="00E92963">
        <w:rPr>
          <w:rFonts w:ascii="Tahoma" w:eastAsia="Times New Roman" w:hAnsi="Tahoma" w:cs="Tahoma"/>
          <w:color w:val="000000"/>
          <w:sz w:val="20"/>
          <w:szCs w:val="20"/>
          <w:lang w:eastAsia="it-IT"/>
        </w:rPr>
        <w:t>.</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8. Qualora si tratti di atti delle amministrazioni delle regioni o degli enti locali, il richiedente può altresì presentare ricorso al difensore civico competente per ambito territoriale, ove costituito. Qualora tale organo non sia stato istituito, la competenza è attribuita al difensore civico competente per l'ambito territoriale immediatamente superiore. Il ricorso va altresì notificato all'amministrazione interessata. Il difensore civico si pronuncia entro trenta giorni dalla presentazione del ricorso. Se il difensore civico ritiene illegittimo il diniego o il differimento, ne informa il richiedente e lo comunica all'amministrazione competente. Se questa non conferma il diniego o il differimento entro trenta giorni dal ricevimento della comunicazione del difensore civico, l'accesso è consentito. Qualora il richiedente l'accesso si sia rivolto al difensore civico, il termine di cui all'</w:t>
      </w:r>
      <w:hyperlink r:id="rId8" w:anchor="116" w:history="1">
        <w:r w:rsidRPr="00E92963">
          <w:rPr>
            <w:rFonts w:ascii="Tahoma" w:eastAsia="Times New Roman" w:hAnsi="Tahoma" w:cs="Tahoma"/>
            <w:color w:val="0000FF"/>
            <w:sz w:val="20"/>
            <w:u w:val="single"/>
            <w:lang w:eastAsia="it-IT"/>
          </w:rPr>
          <w:t>articolo 116 del Codice del processo amministrativo</w:t>
        </w:r>
      </w:hyperlink>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t>decorre dalla data di ricevimento, da parte del richiedente, dell'esito della sua istanza al difensore civico. Se l'accesso è stato negato o differito a tutela degli interessi di cui all'articolo 5-bis, comma 2, lettera a), il difensore civico provvede sentito il Garante per la protezione dei dati personali, il quale si pronuncia entro il termine di dieci giorni dalla richiesta. A decorrere dalla comunicazione al Garante, il termine per la pronuncia del difensore è sospeso, fino alla ricezione del parere del Garante e comunque per un periodo non superiore ai predetti dieci giorni.</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 xml:space="preserve">9. Nei casi di accoglimento della richiesta di accesso, il </w:t>
      </w:r>
      <w:proofErr w:type="spellStart"/>
      <w:r w:rsidRPr="00E92963">
        <w:rPr>
          <w:rFonts w:ascii="Tahoma" w:eastAsia="Times New Roman" w:hAnsi="Tahoma" w:cs="Tahoma"/>
          <w:color w:val="000000"/>
          <w:sz w:val="20"/>
          <w:szCs w:val="20"/>
          <w:lang w:eastAsia="it-IT"/>
        </w:rPr>
        <w:t>controinteressato</w:t>
      </w:r>
      <w:proofErr w:type="spellEnd"/>
      <w:r w:rsidRPr="00E92963">
        <w:rPr>
          <w:rFonts w:ascii="Tahoma" w:eastAsia="Times New Roman" w:hAnsi="Tahoma" w:cs="Tahoma"/>
          <w:color w:val="000000"/>
          <w:sz w:val="20"/>
          <w:szCs w:val="20"/>
          <w:lang w:eastAsia="it-IT"/>
        </w:rPr>
        <w:t xml:space="preserve"> può presentare richiesta di riesame ai sensi del comma 7 e presentare ricorso al difensore civico ai sensi del comma 8.</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10. Nel caso in cui la richiesta di accesso civico riguardi dati, informazioni o documenti oggetto di pubblicazione obbligatoria ai sensi del presente decreto, il responsabile della prevenzione della corruzione e della trasparenza ha l'obbligo di effettuare la segnalazione di cui all'</w:t>
      </w:r>
      <w:hyperlink r:id="rId9" w:anchor="43" w:history="1">
        <w:r w:rsidRPr="00E92963">
          <w:rPr>
            <w:rFonts w:ascii="Tahoma" w:eastAsia="Times New Roman" w:hAnsi="Tahoma" w:cs="Tahoma"/>
            <w:color w:val="0000FF"/>
            <w:sz w:val="20"/>
            <w:u w:val="single"/>
            <w:lang w:eastAsia="it-IT"/>
          </w:rPr>
          <w:t>articolo 43, comma 5</w:t>
        </w:r>
      </w:hyperlink>
      <w:r w:rsidRPr="00E92963">
        <w:rPr>
          <w:rFonts w:ascii="Tahoma" w:eastAsia="Times New Roman" w:hAnsi="Tahoma" w:cs="Tahoma"/>
          <w:color w:val="000000"/>
          <w:sz w:val="20"/>
          <w:szCs w:val="20"/>
          <w:lang w:eastAsia="it-IT"/>
        </w:rPr>
        <w:t>.</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11. Restano fermi gli obblighi di pubblicazione previsti dal Capo II, nonché le diverse forme di accesso degli interessati previste dal</w:t>
      </w:r>
      <w:r w:rsidRPr="00E92963">
        <w:rPr>
          <w:rFonts w:ascii="Tahoma" w:eastAsia="Times New Roman" w:hAnsi="Tahoma" w:cs="Tahoma"/>
          <w:color w:val="000000"/>
          <w:sz w:val="20"/>
          <w:lang w:eastAsia="it-IT"/>
        </w:rPr>
        <w:t> </w:t>
      </w:r>
      <w:hyperlink r:id="rId10" w:anchor="22" w:history="1">
        <w:r w:rsidRPr="00E92963">
          <w:rPr>
            <w:rFonts w:ascii="Tahoma" w:eastAsia="Times New Roman" w:hAnsi="Tahoma" w:cs="Tahoma"/>
            <w:color w:val="0000FF"/>
            <w:sz w:val="20"/>
            <w:u w:val="single"/>
            <w:lang w:eastAsia="it-IT"/>
          </w:rPr>
          <w:t>Capo V della legge 7 agosto 1990, n. 241</w:t>
        </w:r>
      </w:hyperlink>
      <w:r w:rsidRPr="00E92963">
        <w:rPr>
          <w:rFonts w:ascii="Tahoma" w:eastAsia="Times New Roman" w:hAnsi="Tahoma" w:cs="Tahoma"/>
          <w:color w:val="000000"/>
          <w:sz w:val="20"/>
          <w:szCs w:val="20"/>
          <w:lang w:eastAsia="it-IT"/>
        </w:rPr>
        <w:t>.</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b/>
          <w:bCs/>
          <w:color w:val="000000"/>
          <w:sz w:val="20"/>
          <w:szCs w:val="20"/>
          <w:lang w:eastAsia="it-IT"/>
        </w:rPr>
        <w:t>Art.</w:t>
      </w:r>
      <w:bookmarkStart w:id="1" w:name="05-bis"/>
      <w:r w:rsidRPr="00E92963">
        <w:rPr>
          <w:rFonts w:ascii="Tahoma" w:eastAsia="Times New Roman" w:hAnsi="Tahoma" w:cs="Tahoma"/>
          <w:b/>
          <w:bCs/>
          <w:color w:val="000000"/>
          <w:sz w:val="20"/>
          <w:lang w:eastAsia="it-IT"/>
        </w:rPr>
        <w:t> </w:t>
      </w:r>
      <w:r w:rsidRPr="00E92963">
        <w:rPr>
          <w:rFonts w:ascii="Tahoma" w:eastAsia="Times New Roman" w:hAnsi="Tahoma" w:cs="Tahoma"/>
          <w:b/>
          <w:bCs/>
          <w:color w:val="000000"/>
          <w:sz w:val="20"/>
          <w:szCs w:val="20"/>
          <w:lang w:eastAsia="it-IT"/>
        </w:rPr>
        <w:t>5-bis</w:t>
      </w:r>
      <w:bookmarkEnd w:id="1"/>
      <w:r w:rsidRPr="00E92963">
        <w:rPr>
          <w:rFonts w:ascii="Tahoma" w:eastAsia="Times New Roman" w:hAnsi="Tahoma" w:cs="Tahoma"/>
          <w:b/>
          <w:bCs/>
          <w:color w:val="000000"/>
          <w:sz w:val="20"/>
          <w:szCs w:val="20"/>
          <w:lang w:eastAsia="it-IT"/>
        </w:rPr>
        <w:t>. Esclusioni e limiti all'accesso civico</w:t>
      </w:r>
      <w:r w:rsidRPr="00E92963">
        <w:rPr>
          <w:rFonts w:ascii="Tahoma" w:eastAsia="Times New Roman" w:hAnsi="Tahoma" w:cs="Tahoma"/>
          <w:b/>
          <w:bCs/>
          <w:color w:val="000000"/>
          <w:sz w:val="20"/>
          <w:szCs w:val="20"/>
          <w:lang w:eastAsia="it-IT"/>
        </w:rPr>
        <w:br/>
      </w:r>
      <w:r w:rsidRPr="00E92963">
        <w:rPr>
          <w:rFonts w:ascii="Tahoma" w:eastAsia="Times New Roman" w:hAnsi="Tahoma" w:cs="Tahoma"/>
          <w:i/>
          <w:iCs/>
          <w:color w:val="FF0000"/>
          <w:sz w:val="20"/>
          <w:szCs w:val="20"/>
          <w:lang w:eastAsia="it-IT"/>
        </w:rPr>
        <w:t>(articolo introdotto dall'</w:t>
      </w:r>
      <w:hyperlink r:id="rId11" w:anchor="06" w:history="1">
        <w:r w:rsidRPr="00E92963">
          <w:rPr>
            <w:rFonts w:ascii="Tahoma" w:eastAsia="Times New Roman" w:hAnsi="Tahoma" w:cs="Tahoma"/>
            <w:i/>
            <w:iCs/>
            <w:color w:val="0000FF"/>
            <w:sz w:val="20"/>
            <w:u w:val="single"/>
            <w:lang w:eastAsia="it-IT"/>
          </w:rPr>
          <w:t>art. 6, comma 2, d.lgs. n. 97 del 2016</w:t>
        </w:r>
      </w:hyperlink>
      <w:r w:rsidRPr="00E92963">
        <w:rPr>
          <w:rFonts w:ascii="Tahoma" w:eastAsia="Times New Roman" w:hAnsi="Tahoma" w:cs="Tahoma"/>
          <w:i/>
          <w:iCs/>
          <w:color w:val="FF0000"/>
          <w:sz w:val="20"/>
          <w:szCs w:val="20"/>
          <w:lang w:eastAsia="it-IT"/>
        </w:rPr>
        <w:t>)</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1. L'accesso civico di cui all'articolo 5, comma 2, è rifiutato se il diniego è necessario per evitare un pregiudizio concreto alla tutela di uno degli interessi pubblici inerenti a:</w:t>
      </w:r>
    </w:p>
    <w:p w:rsidR="005C7765" w:rsidRPr="00E92963" w:rsidRDefault="005C7765" w:rsidP="005C7765">
      <w:pPr>
        <w:spacing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a) la sicurezza pubblica e l'ordine pubblico;</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b) la sicurezza nazionale;</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c) la difesa e le questioni militari;</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d) le relazioni internazionali;</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e) la politica e la stabilità finanziaria ed economica dello Stato;</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f) la conduzione di indagini sui reati e il loro perseguimento;</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g) il regolare svolgimento di attività ispettive.</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2. L'accesso di cui all'articolo 5, comma 2, è altresì rifiutato se il diniego è necessario per evitare un pregiudizio concreto alla tutela di uno dei seguenti interessi privati:</w:t>
      </w:r>
    </w:p>
    <w:p w:rsidR="005C7765" w:rsidRPr="00E92963" w:rsidRDefault="005C7765" w:rsidP="005C7765">
      <w:pPr>
        <w:spacing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a) la protezione dei dati personali, in conformità con la disciplina legislativa in materia;</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b) la libertà e la segretezza della corrispondenza;</w:t>
      </w:r>
      <w:r w:rsidRPr="00E92963">
        <w:rPr>
          <w:rFonts w:ascii="Tahoma" w:eastAsia="Times New Roman" w:hAnsi="Tahoma" w:cs="Tahoma"/>
          <w:color w:val="000000"/>
          <w:sz w:val="20"/>
          <w:lang w:eastAsia="it-IT"/>
        </w:rPr>
        <w:t> </w:t>
      </w:r>
      <w:r w:rsidRPr="00E92963">
        <w:rPr>
          <w:rFonts w:ascii="Tahoma" w:eastAsia="Times New Roman" w:hAnsi="Tahoma" w:cs="Tahoma"/>
          <w:color w:val="000000"/>
          <w:sz w:val="20"/>
          <w:szCs w:val="20"/>
          <w:lang w:eastAsia="it-IT"/>
        </w:rPr>
        <w:br/>
        <w:t>c) gli interessi economici e commerciali di una persona fisica o giuridica, ivi compresi la proprietà intellettuale, il diritto d'autore e i segreti commerciali.</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 xml:space="preserve">3. Il diritto di cui all'articolo 5, comma 2, è escluso nei casi di segreto di Stato e negli altri casi di divieti di accesso o divulgazione previsti dalla legge, ivi compresi i casi in cui l'accesso è subordinato dalla disciplina </w:t>
      </w:r>
      <w:r w:rsidRPr="00E92963">
        <w:rPr>
          <w:rFonts w:ascii="Tahoma" w:eastAsia="Times New Roman" w:hAnsi="Tahoma" w:cs="Tahoma"/>
          <w:color w:val="000000"/>
          <w:sz w:val="20"/>
          <w:szCs w:val="20"/>
          <w:lang w:eastAsia="it-IT"/>
        </w:rPr>
        <w:lastRenderedPageBreak/>
        <w:t>vigente al rispetto di specifiche condizioni, modalità o limiti, inclusi quelli di cui all'</w:t>
      </w:r>
      <w:hyperlink r:id="rId12" w:anchor="24" w:history="1">
        <w:r w:rsidRPr="00E92963">
          <w:rPr>
            <w:rFonts w:ascii="Tahoma" w:eastAsia="Times New Roman" w:hAnsi="Tahoma" w:cs="Tahoma"/>
            <w:color w:val="0000FF"/>
            <w:sz w:val="20"/>
            <w:u w:val="single"/>
            <w:lang w:eastAsia="it-IT"/>
          </w:rPr>
          <w:t>articolo 24, comma 1, della legge n. 241 del 1990</w:t>
        </w:r>
      </w:hyperlink>
      <w:r w:rsidRPr="00E92963">
        <w:rPr>
          <w:rFonts w:ascii="Tahoma" w:eastAsia="Times New Roman" w:hAnsi="Tahoma" w:cs="Tahoma"/>
          <w:color w:val="000000"/>
          <w:sz w:val="20"/>
          <w:szCs w:val="20"/>
          <w:lang w:eastAsia="it-IT"/>
        </w:rPr>
        <w:t>.</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4. Restano fermi gli obblighi di pubblicazione previsti dalla normativa vigente. Se i limiti di cui ai commi 1 e 2 riguardano soltanto alcuni dati o alcune parti del documento richiesto, deve essere consentito l'accesso agli altri dati o alle altre parti.</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5. I limiti di cui ai commi 1 e 2 si applicano unicamente per il periodo nel quale la protezione è giustificata in relazione alla natura del dato. L'accesso civico non può essere negato ove, per la tutela degli interessi di cui ai commi 1 e 2, sia sufficiente fare ricorso al potere di differimento.</w:t>
      </w:r>
    </w:p>
    <w:p w:rsidR="005C7765" w:rsidRPr="00E92963" w:rsidRDefault="005C7765" w:rsidP="005C7765">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E92963">
        <w:rPr>
          <w:rFonts w:ascii="Tahoma" w:eastAsia="Times New Roman" w:hAnsi="Tahoma" w:cs="Tahoma"/>
          <w:color w:val="000000"/>
          <w:sz w:val="20"/>
          <w:szCs w:val="20"/>
          <w:lang w:eastAsia="it-IT"/>
        </w:rPr>
        <w:t>6. Ai fini della definizione delle esclusioni e dei limiti all'accesso civico di cui al presente articolo, l'Autorità nazionale anticorruzione, d'intesa con il Garante per la protezione dei dati personali e sentita la Conferenza unificata di cui all'articolo 8 del decreto legislativo 28 agosto 1997, n. 281, adotta linee guida recanti indicazioni operative.</w:t>
      </w:r>
    </w:p>
    <w:p w:rsidR="00EB1437" w:rsidRDefault="00EB1437"/>
    <w:sectPr w:rsidR="00EB1437" w:rsidSect="00EB14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5C7765"/>
    <w:rsid w:val="005C7765"/>
    <w:rsid w:val="00EB14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7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0_0104.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settiegatti.eu/info/norme/statali/2010_0104.htm" TargetMode="External"/><Relationship Id="rId12" Type="http://schemas.openxmlformats.org/officeDocument/2006/relationships/hyperlink" Target="http://www.bosettiegatti.eu/info/norme/statali/1990_024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ettiegatti.eu/info/norme/statali/2013_0033.htm" TargetMode="External"/><Relationship Id="rId11" Type="http://schemas.openxmlformats.org/officeDocument/2006/relationships/hyperlink" Target="http://www.bosettiegatti.eu/info/norme/statali/2016_0097.htm" TargetMode="External"/><Relationship Id="rId5" Type="http://schemas.openxmlformats.org/officeDocument/2006/relationships/hyperlink" Target="http://www.bosettiegatti.eu/info/norme/statali/2005_0082.htm" TargetMode="External"/><Relationship Id="rId10" Type="http://schemas.openxmlformats.org/officeDocument/2006/relationships/hyperlink" Target="http://www.bosettiegatti.eu/info/norme/statali/1990_0241.htm" TargetMode="External"/><Relationship Id="rId4" Type="http://schemas.openxmlformats.org/officeDocument/2006/relationships/hyperlink" Target="http://www.bosettiegatti.eu/info/norme/statali/2016_0097.htm" TargetMode="External"/><Relationship Id="rId9" Type="http://schemas.openxmlformats.org/officeDocument/2006/relationships/hyperlink" Target="http://www.bosettiegatti.eu/info/norme/statali/2013_0033.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TARLOCCO</dc:creator>
  <cp:lastModifiedBy>CLAUDIO TARLOCCO</cp:lastModifiedBy>
  <cp:revision>1</cp:revision>
  <dcterms:created xsi:type="dcterms:W3CDTF">2017-01-28T08:50:00Z</dcterms:created>
  <dcterms:modified xsi:type="dcterms:W3CDTF">2017-01-28T08:51:00Z</dcterms:modified>
</cp:coreProperties>
</file>